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AD5" w:rsidRPr="00626AD5" w:rsidRDefault="00626AD5" w:rsidP="00674207">
      <w:pPr>
        <w:tabs>
          <w:tab w:val="left" w:pos="540"/>
        </w:tabs>
        <w:spacing w:line="240" w:lineRule="auto"/>
        <w:ind w:left="0" w:firstLine="0"/>
        <w:jc w:val="center"/>
        <w:outlineLvl w:val="0"/>
        <w:rPr>
          <w:rFonts w:eastAsia="Times New Roman"/>
          <w:b/>
          <w:bCs/>
          <w:color w:val="FF0000"/>
          <w:u w:val="single"/>
        </w:rPr>
      </w:pPr>
      <w:bookmarkStart w:id="0" w:name="_GoBack"/>
      <w:r w:rsidRPr="00626AD5">
        <w:rPr>
          <w:rFonts w:eastAsia="Times New Roman"/>
          <w:b/>
          <w:bCs/>
          <w:color w:val="FF0000"/>
          <w:u w:val="single"/>
        </w:rPr>
        <w:t>*Deadline for Submission for Legislative Priorities and Resolutions is February 21, 2018*</w:t>
      </w:r>
    </w:p>
    <w:bookmarkEnd w:id="0"/>
    <w:p w:rsidR="00626AD5" w:rsidRDefault="00626AD5" w:rsidP="00674207">
      <w:pPr>
        <w:tabs>
          <w:tab w:val="left" w:pos="540"/>
        </w:tabs>
        <w:spacing w:line="240" w:lineRule="auto"/>
        <w:ind w:left="0" w:firstLine="0"/>
        <w:jc w:val="center"/>
        <w:outlineLvl w:val="0"/>
        <w:rPr>
          <w:rFonts w:eastAsia="Times New Roman"/>
          <w:b/>
          <w:bCs/>
          <w:u w:val="single"/>
        </w:rPr>
      </w:pPr>
    </w:p>
    <w:p w:rsidR="00626AD5" w:rsidRDefault="00626AD5" w:rsidP="00674207">
      <w:pPr>
        <w:tabs>
          <w:tab w:val="left" w:pos="540"/>
        </w:tabs>
        <w:spacing w:line="240" w:lineRule="auto"/>
        <w:ind w:left="0" w:firstLine="0"/>
        <w:jc w:val="center"/>
        <w:outlineLvl w:val="0"/>
        <w:rPr>
          <w:rFonts w:eastAsia="Times New Roman"/>
          <w:b/>
          <w:bCs/>
          <w:u w:val="single"/>
        </w:rPr>
      </w:pPr>
    </w:p>
    <w:p w:rsidR="00674207" w:rsidRPr="00674207" w:rsidRDefault="00674207" w:rsidP="00674207">
      <w:pPr>
        <w:tabs>
          <w:tab w:val="left" w:pos="540"/>
        </w:tabs>
        <w:spacing w:line="240" w:lineRule="auto"/>
        <w:ind w:left="0" w:firstLine="0"/>
        <w:jc w:val="center"/>
        <w:outlineLvl w:val="0"/>
        <w:rPr>
          <w:rFonts w:eastAsia="Times New Roman"/>
          <w:b/>
          <w:bCs/>
          <w:u w:val="single"/>
        </w:rPr>
      </w:pPr>
      <w:r w:rsidRPr="00674207">
        <w:rPr>
          <w:rFonts w:eastAsia="Times New Roman"/>
          <w:b/>
          <w:bCs/>
          <w:u w:val="single"/>
        </w:rPr>
        <w:t>LEGISLATIVE PROCEDURES</w:t>
      </w:r>
    </w:p>
    <w:p w:rsidR="00674207" w:rsidRPr="00674207" w:rsidRDefault="00674207" w:rsidP="00674207">
      <w:pPr>
        <w:tabs>
          <w:tab w:val="left" w:pos="540"/>
        </w:tabs>
        <w:spacing w:line="240" w:lineRule="auto"/>
        <w:ind w:left="0" w:firstLine="0"/>
        <w:jc w:val="center"/>
        <w:rPr>
          <w:rFonts w:eastAsia="Times New Roman"/>
          <w:b/>
          <w:bCs/>
          <w:u w:val="single"/>
        </w:rPr>
      </w:pPr>
    </w:p>
    <w:p w:rsidR="00674207" w:rsidRPr="00674207" w:rsidRDefault="00674207" w:rsidP="00674207">
      <w:pPr>
        <w:tabs>
          <w:tab w:val="left" w:pos="540"/>
        </w:tabs>
        <w:spacing w:line="240" w:lineRule="auto"/>
        <w:ind w:left="0" w:firstLine="0"/>
        <w:outlineLvl w:val="0"/>
        <w:rPr>
          <w:rFonts w:eastAsia="Times New Roman"/>
          <w:b/>
          <w:u w:val="single"/>
        </w:rPr>
      </w:pPr>
      <w:r w:rsidRPr="00674207">
        <w:rPr>
          <w:rFonts w:eastAsia="Times New Roman"/>
          <w:b/>
          <w:u w:val="single"/>
        </w:rPr>
        <w:t>National PTA Legislative Program</w:t>
      </w:r>
    </w:p>
    <w:p w:rsidR="00674207" w:rsidRPr="00674207" w:rsidRDefault="00674207" w:rsidP="00674207">
      <w:pPr>
        <w:tabs>
          <w:tab w:val="left" w:pos="540"/>
        </w:tabs>
        <w:spacing w:line="240" w:lineRule="auto"/>
        <w:ind w:left="0" w:firstLine="0"/>
        <w:rPr>
          <w:rFonts w:eastAsia="Times New Roman"/>
        </w:rPr>
      </w:pPr>
      <w:r w:rsidRPr="00674207">
        <w:rPr>
          <w:rFonts w:eastAsia="Times New Roman"/>
        </w:rPr>
        <w:tab/>
        <w:t>National PTA proposals to add or delete legislative policies on the National PTA Legislative Program shall be presented to the annual Delaware PTA convention for a vote.</w:t>
      </w:r>
    </w:p>
    <w:p w:rsidR="00674207" w:rsidRPr="00674207" w:rsidRDefault="00674207" w:rsidP="00674207">
      <w:pPr>
        <w:tabs>
          <w:tab w:val="left" w:pos="540"/>
        </w:tabs>
        <w:spacing w:line="240" w:lineRule="auto"/>
        <w:ind w:left="0" w:firstLine="0"/>
        <w:rPr>
          <w:rFonts w:eastAsia="Times New Roman"/>
        </w:rPr>
      </w:pPr>
    </w:p>
    <w:p w:rsidR="00674207" w:rsidRPr="00674207" w:rsidRDefault="00674207" w:rsidP="00674207">
      <w:pPr>
        <w:tabs>
          <w:tab w:val="left" w:pos="540"/>
        </w:tabs>
        <w:spacing w:line="240" w:lineRule="auto"/>
        <w:ind w:left="0" w:firstLine="0"/>
        <w:outlineLvl w:val="0"/>
        <w:rPr>
          <w:rFonts w:eastAsia="Times New Roman"/>
          <w:b/>
          <w:u w:val="single"/>
        </w:rPr>
      </w:pPr>
      <w:r w:rsidRPr="00674207">
        <w:rPr>
          <w:rFonts w:eastAsia="Times New Roman"/>
          <w:b/>
          <w:u w:val="single"/>
        </w:rPr>
        <w:t>Delaware PTA Legislative Program</w:t>
      </w:r>
    </w:p>
    <w:p w:rsidR="00674207" w:rsidRPr="00674207" w:rsidRDefault="00674207" w:rsidP="00674207">
      <w:pPr>
        <w:tabs>
          <w:tab w:val="left" w:pos="540"/>
        </w:tabs>
        <w:spacing w:line="240" w:lineRule="auto"/>
        <w:ind w:left="0" w:firstLine="0"/>
        <w:rPr>
          <w:rFonts w:eastAsia="Times New Roman"/>
        </w:rPr>
      </w:pPr>
      <w:r w:rsidRPr="00674207">
        <w:rPr>
          <w:rFonts w:eastAsia="Times New Roman"/>
        </w:rPr>
        <w:tab/>
        <w:t>Each year the Legislative Program of the Delaware PTA is reviewed and updated at convention.  Items may be added, removed, or amended as described below.  The program includes only items that require legislative/governmental action.</w:t>
      </w:r>
    </w:p>
    <w:p w:rsidR="00674207" w:rsidRPr="00674207" w:rsidRDefault="00674207" w:rsidP="00674207">
      <w:pPr>
        <w:tabs>
          <w:tab w:val="left" w:pos="540"/>
        </w:tabs>
        <w:spacing w:line="240" w:lineRule="auto"/>
        <w:ind w:left="0" w:firstLine="0"/>
        <w:rPr>
          <w:rFonts w:eastAsia="Times New Roman"/>
        </w:rPr>
      </w:pPr>
    </w:p>
    <w:p w:rsidR="00674207" w:rsidRPr="00674207" w:rsidRDefault="00674207" w:rsidP="00674207">
      <w:pPr>
        <w:tabs>
          <w:tab w:val="left" w:pos="540"/>
        </w:tabs>
        <w:spacing w:line="240" w:lineRule="auto"/>
        <w:ind w:left="0" w:firstLine="0"/>
        <w:outlineLvl w:val="0"/>
        <w:rPr>
          <w:rFonts w:eastAsia="Times New Roman"/>
          <w:b/>
          <w:u w:val="single"/>
        </w:rPr>
      </w:pPr>
      <w:r w:rsidRPr="00674207">
        <w:rPr>
          <w:rFonts w:eastAsia="Times New Roman"/>
          <w:b/>
          <w:u w:val="single"/>
        </w:rPr>
        <w:t>Form of Proposed Legislative Program Items</w:t>
      </w:r>
    </w:p>
    <w:p w:rsidR="00674207" w:rsidRPr="00674207" w:rsidRDefault="00674207" w:rsidP="00674207">
      <w:pPr>
        <w:tabs>
          <w:tab w:val="left" w:pos="540"/>
        </w:tabs>
        <w:spacing w:line="240" w:lineRule="auto"/>
        <w:ind w:left="0" w:firstLine="0"/>
        <w:rPr>
          <w:rFonts w:eastAsia="Times New Roman"/>
        </w:rPr>
      </w:pPr>
      <w:r w:rsidRPr="00674207">
        <w:rPr>
          <w:rFonts w:eastAsia="Times New Roman"/>
        </w:rPr>
        <w:tab/>
        <w:t>Proposals from all sources shall be submitted in writing by the deadline established each year and shall be supported by sufficient background information to warrant consideration.  A proposal without supporting data and information may not justify action by the state legislative committee.</w:t>
      </w:r>
    </w:p>
    <w:p w:rsidR="00674207" w:rsidRPr="00674207" w:rsidRDefault="00674207" w:rsidP="00674207">
      <w:pPr>
        <w:tabs>
          <w:tab w:val="left" w:pos="540"/>
        </w:tabs>
        <w:spacing w:line="240" w:lineRule="auto"/>
        <w:ind w:left="0" w:firstLine="0"/>
        <w:rPr>
          <w:rFonts w:eastAsia="Times New Roman"/>
        </w:rPr>
      </w:pPr>
      <w:r w:rsidRPr="00674207">
        <w:rPr>
          <w:rFonts w:eastAsia="Times New Roman"/>
        </w:rPr>
        <w:tab/>
        <w:t>Individual members, local units, councils, the state legislative committee or the State Executive Committee may submit proposals.  If submitted by a local unit, council, or state committee, it must be over the signature of the president, indicating that it is the result of a majority vote of the members attending a legally constituted meeting at which the proposal was presented.</w:t>
      </w:r>
    </w:p>
    <w:p w:rsidR="00674207" w:rsidRPr="00674207" w:rsidRDefault="00674207" w:rsidP="00674207">
      <w:pPr>
        <w:tabs>
          <w:tab w:val="left" w:pos="540"/>
        </w:tabs>
        <w:spacing w:line="240" w:lineRule="auto"/>
        <w:ind w:left="0" w:firstLine="0"/>
        <w:rPr>
          <w:rFonts w:eastAsia="Times New Roman"/>
        </w:rPr>
      </w:pPr>
    </w:p>
    <w:p w:rsidR="00674207" w:rsidRPr="00674207" w:rsidRDefault="00674207" w:rsidP="00674207">
      <w:pPr>
        <w:tabs>
          <w:tab w:val="left" w:pos="540"/>
        </w:tabs>
        <w:spacing w:line="240" w:lineRule="auto"/>
        <w:ind w:left="0" w:firstLine="0"/>
        <w:outlineLvl w:val="0"/>
        <w:rPr>
          <w:rFonts w:eastAsia="Times New Roman"/>
          <w:b/>
          <w:u w:val="single"/>
        </w:rPr>
      </w:pPr>
      <w:r w:rsidRPr="00674207">
        <w:rPr>
          <w:rFonts w:eastAsia="Times New Roman"/>
          <w:b/>
          <w:u w:val="single"/>
        </w:rPr>
        <w:t>Recommendations to the Board of Managers</w:t>
      </w:r>
    </w:p>
    <w:p w:rsidR="00674207" w:rsidRPr="00674207" w:rsidRDefault="00674207" w:rsidP="00674207">
      <w:pPr>
        <w:tabs>
          <w:tab w:val="left" w:pos="540"/>
        </w:tabs>
        <w:spacing w:line="240" w:lineRule="auto"/>
        <w:ind w:left="0" w:firstLine="0"/>
        <w:rPr>
          <w:rFonts w:eastAsia="Times New Roman"/>
        </w:rPr>
      </w:pPr>
      <w:r w:rsidRPr="00674207">
        <w:rPr>
          <w:rFonts w:eastAsia="Times New Roman"/>
        </w:rPr>
        <w:tab/>
        <w:t>Those proposed legislative program additions, deletions, or amendments approved by a majority vote of the legislative committee shall be forwarded to the members of the Board of Managers at least seven days before the meeting for prior study, with the express purpose of saving time at the Board meeting.</w:t>
      </w:r>
    </w:p>
    <w:p w:rsidR="00674207" w:rsidRPr="00674207" w:rsidRDefault="00674207" w:rsidP="00674207">
      <w:pPr>
        <w:tabs>
          <w:tab w:val="left" w:pos="540"/>
        </w:tabs>
        <w:spacing w:line="240" w:lineRule="auto"/>
        <w:ind w:left="0" w:firstLine="0"/>
        <w:rPr>
          <w:rFonts w:eastAsia="Times New Roman"/>
        </w:rPr>
      </w:pPr>
      <w:r w:rsidRPr="00674207">
        <w:rPr>
          <w:rFonts w:eastAsia="Times New Roman"/>
        </w:rPr>
        <w:tab/>
        <w:t>The proposals, after adoption or amendment at the Board of Managers meeting, shall be forwarded to all local units before the Convention with notification that they will be acted upon at the annual Convention.</w:t>
      </w:r>
    </w:p>
    <w:p w:rsidR="00674207" w:rsidRPr="00674207" w:rsidRDefault="00674207" w:rsidP="00674207">
      <w:pPr>
        <w:tabs>
          <w:tab w:val="left" w:pos="540"/>
        </w:tabs>
        <w:spacing w:line="240" w:lineRule="auto"/>
        <w:ind w:left="0" w:firstLine="0"/>
        <w:rPr>
          <w:rFonts w:eastAsia="Times New Roman"/>
        </w:rPr>
      </w:pPr>
      <w:r w:rsidRPr="00674207">
        <w:rPr>
          <w:rFonts w:eastAsia="Times New Roman"/>
        </w:rPr>
        <w:tab/>
        <w:t>No new legislative proposals may be presented at the annual Convention unless they have been ruled an emergency in accordance with the rules of the Convention.  (An emergency is defined as an unpredictable situation that may arise after the Spring Board meeting.)</w:t>
      </w:r>
    </w:p>
    <w:p w:rsidR="00B0248B" w:rsidRDefault="00B0248B"/>
    <w:p w:rsidR="00674207" w:rsidRDefault="00674207"/>
    <w:p w:rsidR="00674207" w:rsidRPr="00674207" w:rsidRDefault="00674207" w:rsidP="00674207">
      <w:pPr>
        <w:tabs>
          <w:tab w:val="left" w:pos="540"/>
        </w:tabs>
        <w:spacing w:line="240" w:lineRule="auto"/>
        <w:ind w:left="0" w:firstLine="0"/>
        <w:jc w:val="center"/>
        <w:outlineLvl w:val="0"/>
        <w:rPr>
          <w:rFonts w:eastAsia="Times New Roman"/>
          <w:b/>
          <w:bCs/>
          <w:u w:val="single"/>
        </w:rPr>
      </w:pPr>
      <w:r w:rsidRPr="00674207">
        <w:rPr>
          <w:rFonts w:eastAsia="Times New Roman"/>
          <w:b/>
          <w:bCs/>
          <w:u w:val="single"/>
        </w:rPr>
        <w:t>RESOLUTIONS</w:t>
      </w:r>
    </w:p>
    <w:p w:rsidR="00674207" w:rsidRPr="00674207" w:rsidRDefault="00674207" w:rsidP="00674207">
      <w:pPr>
        <w:tabs>
          <w:tab w:val="left" w:pos="540"/>
        </w:tabs>
        <w:spacing w:line="240" w:lineRule="auto"/>
        <w:ind w:left="0" w:firstLine="0"/>
        <w:jc w:val="center"/>
        <w:rPr>
          <w:rFonts w:eastAsia="Times New Roman"/>
          <w:b/>
          <w:bCs/>
          <w:u w:val="single"/>
        </w:rPr>
      </w:pPr>
    </w:p>
    <w:p w:rsidR="00674207" w:rsidRPr="00674207" w:rsidRDefault="00674207" w:rsidP="00674207">
      <w:pPr>
        <w:tabs>
          <w:tab w:val="left" w:pos="540"/>
        </w:tabs>
        <w:spacing w:line="240" w:lineRule="auto"/>
        <w:ind w:left="0" w:firstLine="0"/>
        <w:outlineLvl w:val="0"/>
        <w:rPr>
          <w:rFonts w:eastAsia="Times New Roman"/>
          <w:b/>
          <w:u w:val="single"/>
        </w:rPr>
      </w:pPr>
      <w:r w:rsidRPr="00674207">
        <w:rPr>
          <w:rFonts w:eastAsia="Times New Roman"/>
          <w:b/>
          <w:u w:val="single"/>
        </w:rPr>
        <w:t>Resolution Procedures</w:t>
      </w:r>
    </w:p>
    <w:p w:rsidR="00674207" w:rsidRPr="00674207" w:rsidRDefault="00674207" w:rsidP="00674207">
      <w:pPr>
        <w:tabs>
          <w:tab w:val="left" w:pos="540"/>
        </w:tabs>
        <w:spacing w:line="240" w:lineRule="auto"/>
        <w:ind w:left="0" w:firstLine="0"/>
        <w:rPr>
          <w:rFonts w:eastAsia="Times New Roman"/>
        </w:rPr>
      </w:pPr>
      <w:r w:rsidRPr="00674207">
        <w:rPr>
          <w:rFonts w:eastAsia="Times New Roman"/>
        </w:rPr>
        <w:tab/>
        <w:t>Resolutions shall:</w:t>
      </w:r>
    </w:p>
    <w:p w:rsidR="00674207" w:rsidRPr="00674207" w:rsidRDefault="00674207" w:rsidP="00674207">
      <w:pPr>
        <w:numPr>
          <w:ilvl w:val="0"/>
          <w:numId w:val="1"/>
        </w:numPr>
        <w:tabs>
          <w:tab w:val="left" w:pos="540"/>
        </w:tabs>
        <w:spacing w:line="240" w:lineRule="auto"/>
        <w:rPr>
          <w:rFonts w:eastAsia="Times New Roman"/>
        </w:rPr>
      </w:pPr>
      <w:r w:rsidRPr="00674207">
        <w:rPr>
          <w:rFonts w:eastAsia="Times New Roman"/>
        </w:rPr>
        <w:t>be submitted in writing by the deadline established each year;</w:t>
      </w:r>
    </w:p>
    <w:p w:rsidR="00674207" w:rsidRPr="00674207" w:rsidRDefault="00674207" w:rsidP="00674207">
      <w:pPr>
        <w:numPr>
          <w:ilvl w:val="0"/>
          <w:numId w:val="1"/>
        </w:numPr>
        <w:tabs>
          <w:tab w:val="left" w:pos="540"/>
        </w:tabs>
        <w:spacing w:line="240" w:lineRule="auto"/>
        <w:rPr>
          <w:rFonts w:eastAsia="Times New Roman"/>
        </w:rPr>
      </w:pPr>
      <w:r w:rsidRPr="00674207">
        <w:rPr>
          <w:rFonts w:eastAsia="Times New Roman"/>
        </w:rPr>
        <w:lastRenderedPageBreak/>
        <w:t>be in harmony with PTA basic policies and objects (noncommercial, nonsectarian, nonpartisan);</w:t>
      </w:r>
    </w:p>
    <w:p w:rsidR="00674207" w:rsidRPr="00674207" w:rsidRDefault="00674207" w:rsidP="00674207">
      <w:pPr>
        <w:numPr>
          <w:ilvl w:val="0"/>
          <w:numId w:val="1"/>
        </w:numPr>
        <w:tabs>
          <w:tab w:val="left" w:pos="540"/>
        </w:tabs>
        <w:spacing w:line="240" w:lineRule="auto"/>
        <w:rPr>
          <w:rFonts w:eastAsia="Times New Roman"/>
        </w:rPr>
      </w:pPr>
      <w:r w:rsidRPr="00674207">
        <w:rPr>
          <w:rFonts w:eastAsia="Times New Roman"/>
        </w:rPr>
        <w:t>be statewide in scope, requiring statewide action for solutions;</w:t>
      </w:r>
    </w:p>
    <w:p w:rsidR="00674207" w:rsidRPr="00674207" w:rsidRDefault="00674207" w:rsidP="00674207">
      <w:pPr>
        <w:numPr>
          <w:ilvl w:val="0"/>
          <w:numId w:val="1"/>
        </w:numPr>
        <w:tabs>
          <w:tab w:val="left" w:pos="540"/>
        </w:tabs>
        <w:spacing w:line="240" w:lineRule="auto"/>
        <w:rPr>
          <w:rFonts w:eastAsia="Times New Roman"/>
        </w:rPr>
      </w:pPr>
      <w:r w:rsidRPr="00674207">
        <w:rPr>
          <w:rFonts w:eastAsia="Times New Roman"/>
        </w:rPr>
        <w:t>be broad in scope and not require legislative action;</w:t>
      </w:r>
    </w:p>
    <w:p w:rsidR="00674207" w:rsidRPr="00674207" w:rsidRDefault="00674207" w:rsidP="00674207">
      <w:pPr>
        <w:numPr>
          <w:ilvl w:val="0"/>
          <w:numId w:val="1"/>
        </w:numPr>
        <w:tabs>
          <w:tab w:val="left" w:pos="540"/>
        </w:tabs>
        <w:spacing w:line="240" w:lineRule="auto"/>
        <w:rPr>
          <w:rFonts w:eastAsia="Times New Roman"/>
        </w:rPr>
      </w:pPr>
      <w:r w:rsidRPr="00674207">
        <w:rPr>
          <w:rFonts w:eastAsia="Times New Roman"/>
        </w:rPr>
        <w:t>be supported by sufficient background information to warrant consideration.</w:t>
      </w:r>
    </w:p>
    <w:p w:rsidR="00674207" w:rsidRPr="00674207" w:rsidRDefault="00674207" w:rsidP="00674207">
      <w:pPr>
        <w:tabs>
          <w:tab w:val="left" w:pos="540"/>
        </w:tabs>
        <w:spacing w:line="240" w:lineRule="auto"/>
        <w:ind w:left="0" w:firstLine="0"/>
        <w:rPr>
          <w:rFonts w:eastAsia="Times New Roman"/>
        </w:rPr>
      </w:pPr>
    </w:p>
    <w:p w:rsidR="00674207" w:rsidRPr="00674207" w:rsidRDefault="00674207" w:rsidP="00674207">
      <w:pPr>
        <w:tabs>
          <w:tab w:val="left" w:pos="540"/>
        </w:tabs>
        <w:spacing w:line="240" w:lineRule="auto"/>
        <w:ind w:left="0" w:firstLine="0"/>
        <w:rPr>
          <w:rFonts w:eastAsia="Times New Roman"/>
        </w:rPr>
      </w:pPr>
      <w:r w:rsidRPr="00674207">
        <w:rPr>
          <w:rFonts w:eastAsia="Times New Roman"/>
        </w:rPr>
        <w:tab/>
        <w:t>Resolutions may be submitted by local units, councils, the Board of Managers, or the Executive Committee and must be over the signature of the president of the submitting group, indicating that it is the result of a majority vote of the members attending a legally constituted meeting at which the resolution was approved.</w:t>
      </w:r>
    </w:p>
    <w:p w:rsidR="00674207" w:rsidRPr="00674207" w:rsidRDefault="00674207" w:rsidP="00674207">
      <w:pPr>
        <w:tabs>
          <w:tab w:val="left" w:pos="540"/>
        </w:tabs>
        <w:spacing w:line="240" w:lineRule="auto"/>
        <w:ind w:left="0" w:firstLine="0"/>
        <w:rPr>
          <w:rFonts w:eastAsia="Times New Roman"/>
        </w:rPr>
      </w:pPr>
      <w:r w:rsidRPr="00674207">
        <w:rPr>
          <w:rFonts w:eastAsia="Times New Roman"/>
        </w:rPr>
        <w:tab/>
        <w:t>The Resolutions Committee (appointed by the state president):</w:t>
      </w:r>
    </w:p>
    <w:p w:rsidR="00674207" w:rsidRPr="00674207" w:rsidRDefault="00674207" w:rsidP="00674207">
      <w:pPr>
        <w:tabs>
          <w:tab w:val="left" w:pos="540"/>
        </w:tabs>
        <w:spacing w:line="240" w:lineRule="auto"/>
        <w:ind w:left="0" w:firstLine="0"/>
        <w:rPr>
          <w:rFonts w:eastAsia="Times New Roman"/>
        </w:rPr>
      </w:pPr>
    </w:p>
    <w:p w:rsidR="00674207" w:rsidRPr="00674207" w:rsidRDefault="00674207" w:rsidP="00674207">
      <w:pPr>
        <w:numPr>
          <w:ilvl w:val="0"/>
          <w:numId w:val="2"/>
        </w:numPr>
        <w:tabs>
          <w:tab w:val="left" w:pos="540"/>
        </w:tabs>
        <w:spacing w:line="240" w:lineRule="auto"/>
        <w:rPr>
          <w:rFonts w:eastAsia="Times New Roman"/>
        </w:rPr>
      </w:pPr>
      <w:r w:rsidRPr="00674207">
        <w:rPr>
          <w:rFonts w:eastAsia="Times New Roman"/>
        </w:rPr>
        <w:t>shall reject all resolutions which do not meet the established criteria;</w:t>
      </w:r>
    </w:p>
    <w:p w:rsidR="00674207" w:rsidRPr="00674207" w:rsidRDefault="00674207" w:rsidP="00674207">
      <w:pPr>
        <w:numPr>
          <w:ilvl w:val="0"/>
          <w:numId w:val="2"/>
        </w:numPr>
        <w:tabs>
          <w:tab w:val="left" w:pos="540"/>
        </w:tabs>
        <w:spacing w:line="240" w:lineRule="auto"/>
        <w:rPr>
          <w:rFonts w:eastAsia="Times New Roman"/>
        </w:rPr>
      </w:pPr>
      <w:r w:rsidRPr="00674207">
        <w:rPr>
          <w:rFonts w:eastAsia="Times New Roman"/>
        </w:rPr>
        <w:t>may combine two or more similar resolutions on the same subject;</w:t>
      </w:r>
    </w:p>
    <w:p w:rsidR="00674207" w:rsidRPr="00674207" w:rsidRDefault="00674207" w:rsidP="00674207">
      <w:pPr>
        <w:numPr>
          <w:ilvl w:val="0"/>
          <w:numId w:val="2"/>
        </w:numPr>
        <w:tabs>
          <w:tab w:val="left" w:pos="540"/>
        </w:tabs>
        <w:spacing w:line="240" w:lineRule="auto"/>
        <w:rPr>
          <w:rFonts w:eastAsia="Times New Roman"/>
        </w:rPr>
      </w:pPr>
      <w:r w:rsidRPr="00674207">
        <w:rPr>
          <w:rFonts w:eastAsia="Times New Roman"/>
        </w:rPr>
        <w:t xml:space="preserve">may edit for clarity and brevity and to ensure that they are in the standard format for resolutions </w:t>
      </w:r>
    </w:p>
    <w:p w:rsidR="00674207" w:rsidRPr="00674207" w:rsidRDefault="00674207" w:rsidP="00674207">
      <w:pPr>
        <w:numPr>
          <w:ilvl w:val="0"/>
          <w:numId w:val="2"/>
        </w:numPr>
        <w:tabs>
          <w:tab w:val="left" w:pos="540"/>
        </w:tabs>
        <w:spacing w:line="240" w:lineRule="auto"/>
        <w:rPr>
          <w:rFonts w:eastAsia="Times New Roman"/>
        </w:rPr>
      </w:pPr>
      <w:r w:rsidRPr="00674207">
        <w:rPr>
          <w:rFonts w:eastAsia="Times New Roman"/>
        </w:rPr>
        <w:t>may make substantive changes only with the consent of the submitting group.</w:t>
      </w:r>
    </w:p>
    <w:p w:rsidR="00674207" w:rsidRPr="00674207" w:rsidRDefault="00674207" w:rsidP="00674207">
      <w:pPr>
        <w:tabs>
          <w:tab w:val="left" w:pos="540"/>
        </w:tabs>
        <w:spacing w:line="240" w:lineRule="auto"/>
        <w:ind w:left="0" w:firstLine="0"/>
        <w:rPr>
          <w:rFonts w:eastAsia="Times New Roman"/>
        </w:rPr>
      </w:pPr>
    </w:p>
    <w:p w:rsidR="00674207" w:rsidRPr="00674207" w:rsidRDefault="00674207" w:rsidP="00674207">
      <w:pPr>
        <w:tabs>
          <w:tab w:val="left" w:pos="540"/>
        </w:tabs>
        <w:spacing w:line="240" w:lineRule="auto"/>
        <w:ind w:left="0" w:firstLine="0"/>
        <w:rPr>
          <w:rFonts w:eastAsia="Times New Roman"/>
        </w:rPr>
      </w:pPr>
      <w:r w:rsidRPr="00674207">
        <w:rPr>
          <w:rFonts w:eastAsia="Times New Roman"/>
        </w:rPr>
        <w:tab/>
        <w:t>When a resolution is presented to Convention, the spokesperson for the submitting group will be recognized to speak to it first.</w:t>
      </w:r>
    </w:p>
    <w:p w:rsidR="00674207" w:rsidRPr="00674207" w:rsidRDefault="00674207" w:rsidP="00674207">
      <w:pPr>
        <w:tabs>
          <w:tab w:val="left" w:pos="540"/>
        </w:tabs>
        <w:spacing w:line="240" w:lineRule="auto"/>
        <w:ind w:left="0" w:firstLine="0"/>
        <w:rPr>
          <w:rFonts w:eastAsia="Times New Roman"/>
        </w:rPr>
      </w:pPr>
    </w:p>
    <w:p w:rsidR="00674207" w:rsidRPr="00674207" w:rsidRDefault="00674207" w:rsidP="00674207">
      <w:pPr>
        <w:tabs>
          <w:tab w:val="left" w:pos="540"/>
        </w:tabs>
        <w:spacing w:line="240" w:lineRule="auto"/>
        <w:ind w:left="0" w:firstLine="0"/>
        <w:outlineLvl w:val="0"/>
        <w:rPr>
          <w:rFonts w:eastAsia="Times New Roman"/>
          <w:b/>
        </w:rPr>
      </w:pPr>
      <w:r w:rsidRPr="00674207">
        <w:rPr>
          <w:rFonts w:eastAsia="Times New Roman"/>
          <w:b/>
          <w:u w:val="single"/>
        </w:rPr>
        <w:t>Emergency Resolutions</w:t>
      </w:r>
    </w:p>
    <w:p w:rsidR="00674207" w:rsidRPr="00674207" w:rsidRDefault="00674207" w:rsidP="00674207">
      <w:pPr>
        <w:tabs>
          <w:tab w:val="left" w:pos="540"/>
        </w:tabs>
        <w:spacing w:line="240" w:lineRule="auto"/>
        <w:ind w:left="0" w:firstLine="0"/>
        <w:rPr>
          <w:rFonts w:eastAsia="Times New Roman"/>
        </w:rPr>
      </w:pPr>
      <w:r w:rsidRPr="00674207">
        <w:rPr>
          <w:rFonts w:eastAsia="Times New Roman"/>
        </w:rPr>
        <w:tab/>
        <w:t>The Resolutions Committee shall review each resolution after three years and shall recommend to the delegate body retirement to the historical file or reaffirmation as a priority/action item for the Delaware PTA.  Such recommendations shall be presented to the Board of Managers for their information.</w:t>
      </w:r>
    </w:p>
    <w:p w:rsidR="00674207" w:rsidRPr="00674207" w:rsidRDefault="00674207" w:rsidP="00674207">
      <w:pPr>
        <w:tabs>
          <w:tab w:val="left" w:pos="540"/>
        </w:tabs>
        <w:spacing w:line="240" w:lineRule="auto"/>
        <w:ind w:left="0" w:firstLine="0"/>
        <w:rPr>
          <w:rFonts w:eastAsia="Times New Roman"/>
          <w:b/>
        </w:rPr>
      </w:pPr>
    </w:p>
    <w:p w:rsidR="00674207" w:rsidRPr="00674207" w:rsidRDefault="00674207" w:rsidP="00674207">
      <w:pPr>
        <w:tabs>
          <w:tab w:val="left" w:pos="540"/>
        </w:tabs>
        <w:spacing w:line="240" w:lineRule="auto"/>
        <w:ind w:left="0" w:firstLine="0"/>
        <w:outlineLvl w:val="0"/>
        <w:rPr>
          <w:rFonts w:eastAsia="Times New Roman"/>
          <w:u w:val="single"/>
        </w:rPr>
      </w:pPr>
      <w:proofErr w:type="spellStart"/>
      <w:r w:rsidRPr="00674207">
        <w:rPr>
          <w:rFonts w:eastAsia="Times New Roman"/>
          <w:b/>
          <w:u w:val="single"/>
        </w:rPr>
        <w:t>Post Convention</w:t>
      </w:r>
      <w:proofErr w:type="spellEnd"/>
      <w:r w:rsidRPr="00674207">
        <w:rPr>
          <w:rFonts w:eastAsia="Times New Roman"/>
          <w:b/>
          <w:u w:val="single"/>
        </w:rPr>
        <w:t xml:space="preserve"> Action</w:t>
      </w:r>
    </w:p>
    <w:p w:rsidR="00674207" w:rsidRPr="00674207" w:rsidRDefault="00674207" w:rsidP="00674207">
      <w:pPr>
        <w:tabs>
          <w:tab w:val="left" w:pos="540"/>
        </w:tabs>
        <w:spacing w:line="240" w:lineRule="auto"/>
        <w:ind w:left="0" w:firstLine="0"/>
        <w:rPr>
          <w:rFonts w:eastAsia="Times New Roman"/>
        </w:rPr>
      </w:pPr>
      <w:r w:rsidRPr="00674207">
        <w:rPr>
          <w:rFonts w:eastAsia="Times New Roman"/>
        </w:rPr>
        <w:tab/>
        <w:t>Resolutions adopted by Convention shall be action priorities for the Delaware PTA and shall constitute the basis for developing state PTA programs.  Copies shall be distributed to all members of the Board of Managers as soon as possible following Convention.  A progress report will be made at the next annual convention.</w:t>
      </w:r>
    </w:p>
    <w:p w:rsidR="00674207" w:rsidRDefault="00674207"/>
    <w:sectPr w:rsidR="00674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02A3"/>
    <w:multiLevelType w:val="hybridMultilevel"/>
    <w:tmpl w:val="A7AE44E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4C547BD9"/>
    <w:multiLevelType w:val="hybridMultilevel"/>
    <w:tmpl w:val="FF76E3D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207"/>
    <w:rsid w:val="00626AD5"/>
    <w:rsid w:val="00674207"/>
    <w:rsid w:val="00B02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9AA08"/>
  <w15:chartTrackingRefBased/>
  <w15:docId w15:val="{3BC1DFB8-52BD-463E-B3E5-7E63EB8CE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480" w:lineRule="auto"/>
        <w:ind w:left="720" w:hanging="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Hodges</dc:creator>
  <cp:keywords/>
  <dc:description/>
  <cp:lastModifiedBy>Terri Hodges</cp:lastModifiedBy>
  <cp:revision>2</cp:revision>
  <dcterms:created xsi:type="dcterms:W3CDTF">2017-12-06T03:11:00Z</dcterms:created>
  <dcterms:modified xsi:type="dcterms:W3CDTF">2017-12-06T03:11:00Z</dcterms:modified>
</cp:coreProperties>
</file>